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2" w:rsidRPr="00A52DA0" w:rsidRDefault="0089548B" w:rsidP="0089548B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52DA0">
        <w:rPr>
          <w:rFonts w:ascii="Times New Roman" w:hAnsi="Times New Roman"/>
          <w:b/>
          <w:sz w:val="28"/>
          <w:szCs w:val="28"/>
        </w:rPr>
        <w:t xml:space="preserve">ОЦЕНКА КАЧЕСТВА ФИНАНСОВОГО МЕНЕДЖМЕНТА ПО АДМИНИСТРАЦИИ МУНИЦИПАЛЬНОГО ОБРАЗОВАНИЯ </w:t>
      </w:r>
      <w:r w:rsidR="00985D7C" w:rsidRPr="00A52DA0">
        <w:rPr>
          <w:rFonts w:ascii="Times New Roman" w:hAnsi="Times New Roman"/>
          <w:b/>
          <w:sz w:val="28"/>
          <w:szCs w:val="28"/>
        </w:rPr>
        <w:t xml:space="preserve">САГАРЧИНСКИЙ </w:t>
      </w:r>
      <w:r w:rsidRPr="00A52DA0">
        <w:rPr>
          <w:rFonts w:ascii="Times New Roman" w:hAnsi="Times New Roman"/>
          <w:b/>
          <w:sz w:val="28"/>
          <w:szCs w:val="28"/>
        </w:rPr>
        <w:t>СЕЛЬСОВЕТ АКБУЛАКСКОГО РАЙОНА ОРЕНБУРГСКОЙ ОБЛАСТИ ЗА 2021 ГОД</w:t>
      </w:r>
    </w:p>
    <w:p w:rsidR="0089548B" w:rsidRDefault="0089548B" w:rsidP="0089548B">
      <w:pPr>
        <w:pStyle w:val="Pro-List1"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9548B" w:rsidRDefault="0089548B" w:rsidP="00667B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балльной оценки качества финансового менеджмента главных распорядителей средств бюджета муниципального 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>
        <w:rPr>
          <w:rFonts w:ascii="Times New Roman" w:hAnsi="Times New Roman"/>
          <w:sz w:val="28"/>
          <w:szCs w:val="28"/>
        </w:rPr>
        <w:t xml:space="preserve"> сельсовет Акбулакского района Оренбу</w:t>
      </w:r>
      <w:r w:rsidR="00985D7C">
        <w:rPr>
          <w:rFonts w:ascii="Times New Roman" w:hAnsi="Times New Roman"/>
          <w:sz w:val="28"/>
          <w:szCs w:val="28"/>
        </w:rPr>
        <w:t>ргской области (далее –Методика)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муниципального </w:t>
      </w:r>
      <w:r w:rsidRPr="0089548B">
        <w:rPr>
          <w:rFonts w:ascii="Times New Roman" w:hAnsi="Times New Roman"/>
          <w:sz w:val="28"/>
          <w:szCs w:val="28"/>
        </w:rPr>
        <w:t xml:space="preserve">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 w:rsidRPr="0089548B">
        <w:rPr>
          <w:rFonts w:ascii="Times New Roman" w:hAnsi="Times New Roman"/>
          <w:sz w:val="28"/>
          <w:szCs w:val="28"/>
        </w:rPr>
        <w:t>сельсовет Акбулакского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85D7C">
        <w:rPr>
          <w:rFonts w:ascii="Times New Roman" w:hAnsi="Times New Roman"/>
          <w:sz w:val="28"/>
          <w:szCs w:val="28"/>
        </w:rPr>
        <w:t>02.06.2020 года № 23</w:t>
      </w:r>
      <w:r w:rsidR="00F15707">
        <w:rPr>
          <w:rFonts w:ascii="Times New Roman" w:hAnsi="Times New Roman"/>
          <w:sz w:val="28"/>
          <w:szCs w:val="28"/>
        </w:rPr>
        <w:t xml:space="preserve">-п (далее – Постановление) была проведена оценка качества финансового менеджмента администрации </w:t>
      </w:r>
      <w:r w:rsidR="00F15707" w:rsidRPr="00F157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 w:rsidR="00F15707" w:rsidRPr="00F15707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F15707">
        <w:rPr>
          <w:rFonts w:ascii="Times New Roman" w:hAnsi="Times New Roman"/>
          <w:sz w:val="28"/>
          <w:szCs w:val="28"/>
        </w:rPr>
        <w:t xml:space="preserve"> как главного распорядителя средств бюджета муниципального </w:t>
      </w:r>
      <w:r w:rsidR="00F15707" w:rsidRPr="00F15707">
        <w:rPr>
          <w:rFonts w:ascii="Times New Roman" w:hAnsi="Times New Roman"/>
          <w:sz w:val="28"/>
          <w:szCs w:val="28"/>
        </w:rPr>
        <w:t xml:space="preserve">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 w:rsidR="00F15707" w:rsidRPr="00F15707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667B87">
        <w:rPr>
          <w:rFonts w:ascii="Times New Roman" w:hAnsi="Times New Roman"/>
          <w:sz w:val="28"/>
          <w:szCs w:val="28"/>
        </w:rPr>
        <w:t xml:space="preserve"> </w:t>
      </w:r>
      <w:r w:rsidR="00F15707">
        <w:rPr>
          <w:rFonts w:ascii="Times New Roman" w:hAnsi="Times New Roman"/>
          <w:sz w:val="28"/>
          <w:szCs w:val="28"/>
        </w:rPr>
        <w:t>по итогам исполнения бюджета за 2021 год.</w:t>
      </w:r>
    </w:p>
    <w:p w:rsidR="00F15707" w:rsidRDefault="00F15707" w:rsidP="00667B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качества финансового менеджмента главного распорядителя бюджетных средств определялась как сумма итоговых оценок по каждому показателю. </w:t>
      </w:r>
    </w:p>
    <w:p w:rsidR="00287922" w:rsidRPr="00E62934" w:rsidRDefault="00F15707" w:rsidP="00667B87">
      <w:pPr>
        <w:pStyle w:val="Pro-List1"/>
        <w:spacing w:before="0" w:line="240" w:lineRule="auto"/>
        <w:ind w:left="0" w:firstLine="709"/>
        <w:rPr>
          <w:sz w:val="28"/>
          <w:szCs w:val="28"/>
        </w:rPr>
        <w:sectPr w:rsidR="00287922" w:rsidRPr="00E62934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 xml:space="preserve">Оценка качества финансового </w:t>
      </w:r>
      <w:r w:rsidR="00667B87"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62934" w:rsidRPr="00E629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5D7C">
        <w:rPr>
          <w:rFonts w:ascii="Times New Roman" w:hAnsi="Times New Roman"/>
          <w:sz w:val="28"/>
          <w:szCs w:val="28"/>
        </w:rPr>
        <w:t>Сагарчинский</w:t>
      </w:r>
      <w:r w:rsidR="00E62934" w:rsidRPr="00E62934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  <w:r w:rsidR="00E62934">
        <w:rPr>
          <w:rFonts w:ascii="Times New Roman" w:hAnsi="Times New Roman"/>
          <w:sz w:val="28"/>
          <w:szCs w:val="28"/>
        </w:rPr>
        <w:t xml:space="preserve">   показала </w:t>
      </w:r>
      <w:r w:rsidR="00E62934">
        <w:rPr>
          <w:rFonts w:ascii="Times New Roman" w:hAnsi="Times New Roman"/>
          <w:sz w:val="28"/>
          <w:szCs w:val="28"/>
          <w:lang w:val="en-US"/>
        </w:rPr>
        <w:t>II</w:t>
      </w:r>
      <w:r w:rsidR="00667B87">
        <w:rPr>
          <w:rFonts w:ascii="Times New Roman" w:hAnsi="Times New Roman"/>
          <w:sz w:val="28"/>
          <w:szCs w:val="28"/>
        </w:rPr>
        <w:t xml:space="preserve"> степень</w:t>
      </w:r>
      <w:r w:rsidR="00E62934">
        <w:rPr>
          <w:rFonts w:ascii="Times New Roman" w:hAnsi="Times New Roman"/>
          <w:sz w:val="28"/>
          <w:szCs w:val="28"/>
        </w:rPr>
        <w:t xml:space="preserve"> управл</w:t>
      </w:r>
      <w:r w:rsidR="00A313A3">
        <w:rPr>
          <w:rFonts w:ascii="Times New Roman" w:hAnsi="Times New Roman"/>
          <w:sz w:val="28"/>
          <w:szCs w:val="28"/>
        </w:rPr>
        <w:t>ения финансового менеджмента (41 балл</w:t>
      </w:r>
      <w:r w:rsidR="00E62934">
        <w:rPr>
          <w:rFonts w:ascii="Times New Roman" w:hAnsi="Times New Roman"/>
          <w:sz w:val="28"/>
          <w:szCs w:val="28"/>
        </w:rPr>
        <w:t xml:space="preserve">). Отклонение от максимального </w:t>
      </w:r>
      <w:r w:rsidR="00667B87">
        <w:rPr>
          <w:rFonts w:ascii="Times New Roman" w:hAnsi="Times New Roman"/>
          <w:sz w:val="28"/>
          <w:szCs w:val="28"/>
        </w:rPr>
        <w:t>количества</w:t>
      </w:r>
      <w:r w:rsidR="00E62934">
        <w:rPr>
          <w:rFonts w:ascii="Times New Roman" w:hAnsi="Times New Roman"/>
          <w:sz w:val="28"/>
          <w:szCs w:val="28"/>
        </w:rPr>
        <w:t xml:space="preserve"> баллов составляет 11 баллов. </w:t>
      </w: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DC6B00">
        <w:trPr>
          <w:trHeight w:val="1985"/>
        </w:trPr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DC6B00" w:rsidRPr="00F95503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</w:t>
            </w:r>
          </w:p>
          <w:p w:rsidR="00DC6B00" w:rsidRPr="006228E1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к </w:t>
            </w:r>
            <w:bookmarkStart w:id="0" w:name="_GoBack"/>
            <w:bookmarkEnd w:id="0"/>
            <w:r w:rsidR="00F95503" w:rsidRPr="008E0FE4">
              <w:rPr>
                <w:rFonts w:ascii="Times New Roman" w:hAnsi="Times New Roman"/>
                <w:sz w:val="24"/>
              </w:rPr>
              <w:t>Порядку проведения</w:t>
            </w:r>
            <w:r w:rsidRPr="008E0FE4">
              <w:rPr>
                <w:rFonts w:ascii="Times New Roman" w:hAnsi="Times New Roman"/>
                <w:sz w:val="24"/>
              </w:rPr>
              <w:t xml:space="preserve"> оценки качества финансового менеджмента муниципального образования </w:t>
            </w:r>
            <w:r w:rsidR="00F95503">
              <w:rPr>
                <w:rFonts w:ascii="Times New Roman" w:hAnsi="Times New Roman"/>
                <w:sz w:val="24"/>
              </w:rPr>
              <w:t xml:space="preserve">Сагарчинский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</w:p>
          <w:p w:rsidR="00DC6B00" w:rsidRDefault="003C4D5E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Акбулакского</w:t>
            </w:r>
            <w:r w:rsidR="00F15112" w:rsidRPr="008E0FE4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15112" w:rsidRPr="00F15112" w:rsidRDefault="00F95503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Сагарчинский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C4D5E">
        <w:rPr>
          <w:rFonts w:ascii="Times New Roman" w:hAnsi="Times New Roman" w:cs="Times New Roman"/>
          <w:b/>
          <w:sz w:val="28"/>
          <w:szCs w:val="28"/>
        </w:rPr>
        <w:t>Акбулакского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953"/>
        <w:gridCol w:w="2127"/>
        <w:gridCol w:w="2126"/>
      </w:tblGrid>
      <w:tr w:rsidR="003C4D5E" w:rsidRPr="00F15112" w:rsidTr="00DC6B00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95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127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2126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</w:tr>
      <w:tr w:rsidR="003C4D5E" w:rsidRPr="00F15112" w:rsidTr="00DC6B00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4D5E" w:rsidRPr="00F15112" w:rsidTr="00DC6B00">
        <w:trPr>
          <w:trHeight w:val="28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20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3C4D5E" w:rsidRPr="00F15112" w:rsidRDefault="003C4D5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24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15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47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D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985D7C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1C2F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043CD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71C" w:rsidRPr="00F15112" w:rsidRDefault="0088171C" w:rsidP="008817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3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C4D5E" w:rsidRPr="00F15112" w:rsidTr="00DC6B00">
        <w:trPr>
          <w:trHeight w:val="119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129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C4D5E" w:rsidRPr="00F15112" w:rsidTr="00DC6B00">
        <w:trPr>
          <w:trHeight w:val="105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17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gridAfter w:val="4"/>
          <w:wAfter w:w="13892" w:type="dxa"/>
          <w:trHeight w:val="55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C4D5E" w:rsidRPr="00F15112" w:rsidTr="00DC6B00">
        <w:trPr>
          <w:trHeight w:val="166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EC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F9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EC150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904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523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F4" w:rsidRDefault="004224F4" w:rsidP="00A5566E">
      <w:pPr>
        <w:spacing w:after="0" w:line="240" w:lineRule="auto"/>
      </w:pPr>
      <w:r>
        <w:separator/>
      </w:r>
    </w:p>
  </w:endnote>
  <w:endnote w:type="continuationSeparator" w:id="0">
    <w:p w:rsidR="004224F4" w:rsidRDefault="004224F4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AF595C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5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F4" w:rsidRDefault="004224F4" w:rsidP="00A5566E">
      <w:pPr>
        <w:spacing w:after="0" w:line="240" w:lineRule="auto"/>
      </w:pPr>
      <w:r>
        <w:separator/>
      </w:r>
    </w:p>
  </w:footnote>
  <w:footnote w:type="continuationSeparator" w:id="0">
    <w:p w:rsidR="004224F4" w:rsidRDefault="004224F4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3"/>
    <w:rsid w:val="00026FA3"/>
    <w:rsid w:val="00043CD2"/>
    <w:rsid w:val="00044EBF"/>
    <w:rsid w:val="001A7FB5"/>
    <w:rsid w:val="001C2F66"/>
    <w:rsid w:val="001D5F32"/>
    <w:rsid w:val="001F6D5A"/>
    <w:rsid w:val="002029F4"/>
    <w:rsid w:val="00205A63"/>
    <w:rsid w:val="00287922"/>
    <w:rsid w:val="002F0693"/>
    <w:rsid w:val="00321761"/>
    <w:rsid w:val="003C4D5E"/>
    <w:rsid w:val="00401264"/>
    <w:rsid w:val="00406214"/>
    <w:rsid w:val="00414C09"/>
    <w:rsid w:val="004224F4"/>
    <w:rsid w:val="00523DF5"/>
    <w:rsid w:val="005472AA"/>
    <w:rsid w:val="00591D77"/>
    <w:rsid w:val="00617BD2"/>
    <w:rsid w:val="006228E1"/>
    <w:rsid w:val="00667B87"/>
    <w:rsid w:val="00671329"/>
    <w:rsid w:val="00686C03"/>
    <w:rsid w:val="006A1E7A"/>
    <w:rsid w:val="00767C8D"/>
    <w:rsid w:val="007A0F19"/>
    <w:rsid w:val="00803DA1"/>
    <w:rsid w:val="0083391A"/>
    <w:rsid w:val="008430DD"/>
    <w:rsid w:val="0088171C"/>
    <w:rsid w:val="0089548B"/>
    <w:rsid w:val="008C4E07"/>
    <w:rsid w:val="00926EA1"/>
    <w:rsid w:val="0096353B"/>
    <w:rsid w:val="00985D7C"/>
    <w:rsid w:val="00995C46"/>
    <w:rsid w:val="009D3847"/>
    <w:rsid w:val="00A313A3"/>
    <w:rsid w:val="00A32AE1"/>
    <w:rsid w:val="00A37975"/>
    <w:rsid w:val="00A52DA0"/>
    <w:rsid w:val="00A542C6"/>
    <w:rsid w:val="00A5566E"/>
    <w:rsid w:val="00AF595C"/>
    <w:rsid w:val="00BD350D"/>
    <w:rsid w:val="00C87B91"/>
    <w:rsid w:val="00D202DF"/>
    <w:rsid w:val="00D51E01"/>
    <w:rsid w:val="00D55D5C"/>
    <w:rsid w:val="00D86E62"/>
    <w:rsid w:val="00DC4BFA"/>
    <w:rsid w:val="00DC6B00"/>
    <w:rsid w:val="00E4568D"/>
    <w:rsid w:val="00E62934"/>
    <w:rsid w:val="00E83921"/>
    <w:rsid w:val="00E87669"/>
    <w:rsid w:val="00E942EA"/>
    <w:rsid w:val="00EB3014"/>
    <w:rsid w:val="00EC150E"/>
    <w:rsid w:val="00ED2540"/>
    <w:rsid w:val="00F15112"/>
    <w:rsid w:val="00F15707"/>
    <w:rsid w:val="00F647BF"/>
    <w:rsid w:val="00F9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5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4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4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858D-A7E7-4215-AB90-B3701A25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1</cp:lastModifiedBy>
  <cp:revision>2</cp:revision>
  <cp:lastPrinted>2022-05-13T05:31:00Z</cp:lastPrinted>
  <dcterms:created xsi:type="dcterms:W3CDTF">2022-05-20T04:36:00Z</dcterms:created>
  <dcterms:modified xsi:type="dcterms:W3CDTF">2022-05-20T04:36:00Z</dcterms:modified>
</cp:coreProperties>
</file>